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3: % de firmas donde la fracción implícita sobre 10 SMLV es aritméticamente incoherente con el salario promedio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961"/>
        <w:gridCol w:w="211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pct_inconsistente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31.1600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30.7600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27.8300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2026-09-26T22:19:24Z</dcterms:modified>
  <cp:category/>
</cp:coreProperties>
</file>