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Prueba 4: tasa mediana según si la firma reporta salario integral positivo, 2008-2019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2967"/>
        <w:gridCol w:w="2869"/>
        <w:gridCol w:w="4226"/>
        <w:gridCol w:w="412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categoria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n_salario_integral_FALSE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n_salario_integral_TRUE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tasa_mediana_salario_integral_FALSE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tasa_mediana_salario_integral_TRUE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72,860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19,194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92,420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0.0923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77,314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20,378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2026-09-26T22:19:25Z</dcterms:modified>
  <cp:category/>
</cp:coreProperties>
</file>