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Cobertura de cada medida y del outcome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Cobertura de cada medida y del outcome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2331"/>
        <w:gridCol w:w="35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firmas_con_medida_y_outcome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</w:tr>
    </w:tbl>
    <w:p>
      <w:pPr>
        <w:pStyle w:val="Titre2"/>
      </w:pPr>
      <w:r>
        <w:t xml:space="preserve">Tabla 2. Primer eslabón: efecto de una DE de exposición sobre el crecimiento del costo laboral 2022-2023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Primer eslabón: efecto de una DE de exposición sobre el crecimiento del costo laboral 2022-2023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205"/>
        <w:gridCol w:w="1303"/>
        <w:gridCol w:w="1462"/>
        <w:gridCol w:w="1854"/>
        <w:gridCol w:w="1132"/>
        <w:gridCol w:w="1609"/>
        <w:gridCol w:w="1609"/>
        <w:gridCol w:w="1731"/>
        <w:gridCol w:w="1426"/>
        <w:gridCol w:w="1829"/>
        <w:gridCol w:w="15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r2_ajustado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Común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Sí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0.0006</w:t>
            </w:r>
          </w:p>
        </w:tc>
      </w:tr>
    </w:tbl>
    <w:p>
      <w:pPr>
        <w:pStyle w:val="Titre2"/>
      </w:pPr>
      <w:r>
        <w:t xml:space="preserve">Tabla 3. Coeficiente del primer eslabón con exposición medida en 2022 y en 2019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Coeficiente del primer eslabón con exposición medida en 2022 y en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5"/>
        <w:gridCol w:w="2038"/>
        <w:gridCol w:w="1744"/>
        <w:gridCol w:w="2038"/>
        <w:gridCol w:w="1744"/>
        <w:gridCol w:w="299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pareja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p_base_2022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coef_base_2019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p_base_2019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25.2000</w:t>
            </w:r>
          </w:p>
        </w:tc>
      </w:tr>
    </w:tbl>
    <w:p>
      <w:pPr>
        <w:pStyle w:val="Titre2"/>
      </w:pPr>
      <w:r>
        <w:t xml:space="preserve">Tabla 4. Primer eslabón en el año del choque y en el placebo 2018-2019 (placebo no informativo, ver nota en el script)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Primer eslabón en el año del choque y en el placebo 2018-2019 (placebo no informativo, ver nota en el script)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2319"/>
        <w:gridCol w:w="1462"/>
        <w:gridCol w:w="1854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periodo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Choque 2022-2023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Placebo 2018-2019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5,949</w:t>
            </w:r>
          </w:p>
        </w:tc>
      </w:tr>
    </w:tbl>
    <w:p>
      <w:pPr>
        <w:pStyle w:val="Titre2"/>
      </w:pPr>
      <w:r>
        <w:t xml:space="preserve">Tabla 5. Primer eslabón con y sin controles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Primer eslabón con y sin controles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768"/>
        <w:gridCol w:w="1462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controles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</w:tr>
    </w:tbl>
    <w:p>
      <w:pPr>
        <w:pStyle w:val="Titre2"/>
      </w:pPr>
      <w:r>
        <w:t xml:space="preserve">Tabla 6. Primer eslabón con errores agrupados por sector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Primer eslabón con errores agrupados por sector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462"/>
        <w:gridCol w:w="2649"/>
        <w:gridCol w:w="1585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error_agrupado_sector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p_agrupado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7. Crecimiento del costo laboral por quintil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Crecimiento del costo laboral por quintil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985"/>
        <w:gridCol w:w="1010"/>
        <w:gridCol w:w="2918"/>
        <w:gridCol w:w="26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crecimiento_mediano_pct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crecimiento_medio_pct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quintil_golpe_c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13.36</w:t>
            </w:r>
          </w:p>
        </w:tc>
      </w:tr>
    </w:tbl>
    <w:p>
      <w:pPr>
        <w:pStyle w:val="Titre2"/>
      </w:pPr>
      <w:r>
        <w:t xml:space="preserve">Tabla 8. Resumen del primer eslabón en la muestra común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Resumen del primer eslabón en la muestra común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462"/>
        <w:gridCol w:w="1426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2026-09-26T22:22:08Z</dcterms:modified>
  <cp:category/>
</cp:coreProperties>
</file>