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Primer eslabón: efecto de una DE de exposición sobre el crecimiento del costo laboral 2022-2023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205"/>
        <w:gridCol w:w="1303"/>
        <w:gridCol w:w="1462"/>
        <w:gridCol w:w="1854"/>
        <w:gridCol w:w="1132"/>
        <w:gridCol w:w="1609"/>
        <w:gridCol w:w="1609"/>
        <w:gridCol w:w="1731"/>
        <w:gridCol w:w="1426"/>
        <w:gridCol w:w="1829"/>
        <w:gridCol w:w="15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r2_ajustado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2026-09-26T22:22:02Z</dcterms:modified>
  <cp:category/>
</cp:coreProperties>
</file>