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Coeficiente del primer eslabón con exposición medida en 2022 y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2038"/>
        <w:gridCol w:w="1744"/>
        <w:gridCol w:w="2038"/>
        <w:gridCol w:w="1744"/>
        <w:gridCol w:w="29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pareja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2026-09-26T22:22:03Z</dcterms:modified>
  <cp:category/>
</cp:coreProperties>
</file>