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Primer eslabón en el año del choque y en el placebo 2018-2019 (placebo no informativo, ver nota en el script)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2319"/>
        <w:gridCol w:w="1462"/>
        <w:gridCol w:w="1854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2026-09-26T22:22:04Z</dcterms:modified>
  <cp:category/>
</cp:coreProperties>
</file>