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Efecto por quintil de exposición, frente al quintil 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9"/>
        <w:gridCol w:w="985"/>
        <w:gridCol w:w="1462"/>
        <w:gridCol w:w="1854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2022)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(exp. 2019, limpia)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2026-09-27T14:40:09Z</dcterms:modified>
  <cp:category/>
</cp:coreProperties>
</file>