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16. Distribución de las firmas por quintil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694"/>
        <w:gridCol w:w="1903"/>
        <w:gridCol w:w="1755"/>
        <w:gridCol w:w="2172"/>
        <w:gridCol w:w="2282"/>
        <w:gridCol w:w="26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porcentaje_del_empleo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268,108.00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161,473.00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98,076.00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70,117.00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50,713.00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2026-09-19T23:26:39Z</dcterms:modified>
  <cp:category/>
</cp:coreProperties>
</file>