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17c. Cambio en 2023 y 2024 frente al promedio de 2015-2019, por quintil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5"/>
        <w:gridCol w:w="900"/>
        <w:gridCol w:w="2391"/>
        <w:gridCol w:w="1462"/>
        <w:gridCol w:w="1854"/>
        <w:gridCol w:w="1132"/>
        <w:gridCol w:w="1609"/>
        <w:gridCol w:w="1609"/>
        <w:gridCol w:w="1731"/>
        <w:gridCol w:w="21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-2.7379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-1.7744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-7.1351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-3.7526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-8.9071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-4.0915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0.9066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-2.9966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1.3750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-1.2287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-3.6897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-0.6990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-3.9615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2026-09-19T23:26:45Z</dcterms:modified>
  <cp:category/>
</cp:coreProperties>
</file>