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Tabla 20. Resultado principal con y sin el quintil más expuesto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028"/>
        <w:gridCol w:w="2575"/>
        <w:gridCol w:w="1462"/>
        <w:gridCol w:w="1854"/>
        <w:gridCol w:w="1132"/>
        <w:gridCol w:w="1609"/>
        <w:gridCol w:w="1609"/>
        <w:gridCol w:w="1731"/>
        <w:gridCol w:w="1829"/>
        <w:gridCol w:w="2160"/>
      </w:tblGrid>
      <w:tr>
        <w:trPr>
          <w:trHeight w:val="638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muestra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resultado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coeficiente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error_estandar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p_valor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significancia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ic95_inferior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ic95_superior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observaciones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efecto_porcentual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0.0040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0.0118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**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-0.0178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-1.0012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Salario promedio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-0.0102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0.0677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-1.0150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Todas las firmas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0.1995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0.0051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44,615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-0.9637</w:t>
            </w:r>
          </w:p>
        </w:tc>
      </w:tr>
      <w:tr>
        <w:trPr>
          <w:trHeight w:val="623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Sin el quintil más expuesto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Empleo total (log)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-0.0029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0.0103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0.7796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-0.0231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0.0173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35,729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-0.2882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2026-09-19T23:26:56Z</dcterms:modified>
  <cp:category/>
</cp:coreProperties>
</file>