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23. Cambio de 2023 por quintil, con el Kaitz construido sobre el salario promedio de 2019-2021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441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-5.3652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2026-09-19T23:27:07Z</dcterms:modified>
  <cp:category/>
</cp:coreProperties>
</file>