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Primer eslabón: efecto sobre el costo laboral por trabajador, tres lecturas y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2026-09-30T22:25:18Z</dcterms:modified>
  <cp:category/>
</cp:coreProperties>
</file>