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Segundo eslabón: efecto sobre el empleo total (trabajadores o % según la escala)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95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2026-09-30T22:25:22Z</dcterms:modified>
  <cp:category/>
</cp:coreProperties>
</file>