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Mecanismos de ajuste: efecto en 2023 por DE de exposición (exploratorio)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2"/>
        <w:gridCol w:w="4898"/>
        <w:gridCol w:w="1426"/>
        <w:gridCol w:w="1585"/>
        <w:gridCol w:w="1707"/>
        <w:gridCol w:w="1132"/>
        <w:gridCol w:w="2282"/>
        <w:gridCol w:w="1854"/>
        <w:gridCol w:w="2563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significancia_cruda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p_ajustado_bh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significancia_ajustada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 directo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Aprendices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27,244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 de agencias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aprendices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Composición contractual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aprendices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mujeres entre 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44,249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Composición ocupacional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obreros (OJO: circular)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42,238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Salarios y compresión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42,072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y servicios técnicos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41,363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encargada a terceros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temporales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15,956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44,570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de maquinaria nueva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24,657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Invierte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 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Compra maquinaria nueva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 Rentabilidad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(VA - costo laboral)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2026-09-30T22:25:29Z</dcterms:modified>
  <cp:category/>
</cp:coreProperties>
</file>