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7b. Coeficiente de 2023, con y sin control por tamaño x año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48"/>
        <w:gridCol w:w="3578"/>
        <w:gridCol w:w="1426"/>
        <w:gridCol w:w="1585"/>
        <w:gridCol w:w="1707"/>
        <w:gridCol w:w="1132"/>
        <w:gridCol w:w="1609"/>
        <w:gridCol w:w="1365"/>
        <w:gridCol w:w="18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p_previos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log_costo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control de tamaño (principal)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 control de tamaño x 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log_empleo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control de tamaño (principal)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log_empleo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 control de tamaño x año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2026-09-30T22:25:38Z</dcterms:modified>
  <cp:category/>
</cp:coreProperties>
</file>