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7c. Lecturas principales con control por tamaño x año (Bite de obreros)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1"/>
        <w:gridCol w:w="4679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Cambio 2022 -&gt;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Salto 2023 ajustado por tendencia previa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DiD simple (promedio post - pre)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2023 frente a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 vs promedio previo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log_permanente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 vs promedio previo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2026-09-30T22:31:38Z</dcterms:modified>
  <cp:category/>
</cp:coreProperties>
</file>