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8. Resultado principal con la medida Bite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82"/>
        <w:gridCol w:w="4679"/>
        <w:gridCol w:w="1426"/>
        <w:gridCol w:w="1585"/>
        <w:gridCol w:w="1707"/>
        <w:gridCol w:w="1132"/>
        <w:gridCol w:w="1609"/>
        <w:gridCol w:w="1365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eslabon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lectura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Costo laboral por trabajador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Costo laboral por trabajador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Costo laboral por trabajador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Costo laboral por trabajador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-4.325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-5.713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-1.983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-3.337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2026-09-30T22:37:26Z</dcterms:modified>
  <cp:category/>
</cp:coreProperties>
</file>