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9a. Quintiles del Kaitz de obreros (2022): firmas y rangos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0"/>
        <w:gridCol w:w="1010"/>
        <w:gridCol w:w="1340"/>
        <w:gridCol w:w="1829"/>
        <w:gridCol w:w="14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quintil_kaitz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2026-09-30T22:25:39Z</dcterms:modified>
  <cp:category/>
</cp:coreProperties>
</file>