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10. Sensibilidad del efecto de 2023 a violaciones de tendencias paralelas (HonestDiD)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214"/>
        <w:gridCol w:w="1413"/>
        <w:gridCol w:w="2038"/>
        <w:gridCol w:w="1034"/>
        <w:gridCol w:w="1071"/>
        <w:gridCol w:w="1707"/>
        <w:gridCol w:w="1365"/>
        <w:gridCol w:w="136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excluye_cero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ic_abierto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Original (tendencias paralelas exactas)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2026-09-30T22:31:35Z</dcterms:modified>
  <cp:category/>
</cp:coreProperties>
</file>