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 (con control de tamaño x año). Sensibilidad del efecto de 2023 a violaciones de tendencias paralelas (HonestDiD)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214"/>
        <w:gridCol w:w="1413"/>
        <w:gridCol w:w="2038"/>
        <w:gridCol w:w="1157"/>
        <w:gridCol w:w="1084"/>
        <w:gridCol w:w="1707"/>
        <w:gridCol w:w="1365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excluye_cero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ic_abierto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2026-09-30T22:37:25Z</dcterms:modified>
  <cp:category/>
</cp:coreProperties>
</file>