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10b. Valor de quiebre de HonestDiD por resultado y supuesto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3137"/>
        <w:gridCol w:w="2379"/>
        <w:gridCol w:w="1744"/>
        <w:gridCol w:w="1768"/>
        <w:gridCol w:w="54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significativo_original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valor_quiebre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maximo_grilla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 pierde en cuanto se permite cualquier violación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significativo ni con tendencias paralelas exactas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significativo ni con tendencias paralelas exactas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2026-09-30T22:31:36Z</dcterms:modified>
  <cp:category/>
</cp:coreProperties>
</file>