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16. Distribución de las firmas por quintil de exposición (2022)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010"/>
        <w:gridCol w:w="1694"/>
        <w:gridCol w:w="1903"/>
        <w:gridCol w:w="1755"/>
        <w:gridCol w:w="2172"/>
        <w:gridCol w:w="2282"/>
        <w:gridCol w:w="26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kaitz_minimo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kaitz_maximo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porcentaje_del_empleo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262.85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268,108.00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161,473.00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98,076.00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70,117.00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50,713.00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2026-09-30T22:38:49Z</dcterms:modified>
  <cp:category/>
</cp:coreProperties>
</file>