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17b. Cambio en 2023 y 2024 frente a 2022, por quintil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961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5.1807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5.5140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-1.5495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-1.9377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2026-09-30T22:38:52Z</dcterms:modified>
  <cp:category/>
</cp:coreProperties>
</file>