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20. Resultado principal con y sin el quintil más expuesto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28"/>
        <w:gridCol w:w="3639"/>
        <w:gridCol w:w="3589"/>
        <w:gridCol w:w="1462"/>
        <w:gridCol w:w="1854"/>
        <w:gridCol w:w="1132"/>
        <w:gridCol w:w="1609"/>
        <w:gridCol w:w="1609"/>
        <w:gridCol w:w="1731"/>
        <w:gridCol w:w="1829"/>
        <w:gridCol w:w="216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muestra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Todas las firmas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DiD simple (promedio post - pre)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-0.0155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-0.8527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el quintil más expuesto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35,728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-0.6788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Todas las firmas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-4.3258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el quintil más expuesto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35,729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-3.9040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Todas las firmas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2023 frente a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3.2682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el quintil más expuesto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2023 frente a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35,728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2.1649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Todas las firmas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2023 frente a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-0.7640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el quintil más expuesto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2023 frente a 2022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-0.0044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0.5888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35,729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-0.4413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2026-09-30T22:38:58Z</dcterms:modified>
  <cp:category/>
</cp:coreProperties>
</file>