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23. Cambio de 2023 por quintil, con el Kaitz construido sobre el salario promedio de 2019-2021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639"/>
        <w:gridCol w:w="2441"/>
        <w:gridCol w:w="2391"/>
        <w:gridCol w:w="1462"/>
        <w:gridCol w:w="1854"/>
        <w:gridCol w:w="1132"/>
        <w:gridCol w:w="1609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referencia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quintil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1.4282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1.7495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2.6744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4.4273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2.3790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1.2485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2.8527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Costo laboral por trabajador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3.9332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-2.0645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-1.2419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-1.5410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-2.4580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-4.1097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-8.0907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-8.2231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promedio 2015-2019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Q5 (más expuestas)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-0.1303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0.0269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***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-13.0296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2026-09-30T22:39:09Z</dcterms:modified>
  <cp:category/>
</cp:coreProperties>
</file>