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24. Las tres medidas de exposición: salto real de 2023 frente al placebo de 2019. Real: año base 2022, promedio 2019, 2021 y 2022. Placebo: año base 2018, promedio 2015-2018.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4544"/>
        <w:gridCol w:w="3517"/>
        <w:gridCol w:w="2391"/>
        <w:gridCol w:w="2160"/>
        <w:gridCol w:w="1854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ejercicio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3.0973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8.2053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-1.7922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-1.3747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Salario de la firma en el año 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-0.2579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B. Salario promediado de los años previos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-3.9141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-3.7913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-4.7628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Placebo (año sin choque: 2019)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-3.5153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2,839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Salario de firmas parecidas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Real (choque de 2023)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-3.4614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2026-09-30T22:39:13Z</dcterms:modified>
  <cp:category/>
</cp:coreProperties>
</file>