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24 (con control de tamaño x año). Las tres medidas de exposición: salto real de 2023 frente al placebo de 2019. Real: año base 2022, promedio 2019, 2021 y 2022. Placebo: año base 2018, promedio 2015-2018.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4544"/>
        <w:gridCol w:w="3517"/>
        <w:gridCol w:w="2391"/>
        <w:gridCol w:w="2160"/>
        <w:gridCol w:w="1854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ejercicio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en el año 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Salario promediado de los años previos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(año sin choque: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2,839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(choque de 2023)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(más expuestas)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-3.9498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2026-09-30T22:39:17Z</dcterms:modified>
  <cp:category/>
</cp:coreProperties>
</file>