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25. El quintil más expuesto: efecto real y efecto falso, con cada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5389"/>
        <w:gridCol w:w="4520"/>
        <w:gridCol w:w="5083"/>
        <w:gridCol w:w="4214"/>
        <w:gridCol w:w="4838"/>
        <w:gridCol w:w="3970"/>
        <w:gridCol w:w="3529"/>
        <w:gridCol w:w="1732"/>
        <w:gridCol w:w="1609"/>
        <w:gridCol w:w="26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significancia_Placebo (año sin choque: 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significancia_Real (choque de 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diferencia_real_menos_placebo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p_diferencia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significancia_diferencia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2026-09-30T22:39:13Z</dcterms:modified>
  <cp:category/>
</cp:coreProperties>
</file>