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Primer eslabón: efecto sobre el costo laboral por trabajador, tres lecturas y cinco medidas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4679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11.956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53,972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2026-09-30T22:07:11Z</dcterms:modified>
  <cp:category/>
</cp:coreProperties>
</file>