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Segundo eslabón: efecto sobre el empleo total (trabajadores o % según la escala)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951"/>
        <w:gridCol w:w="4679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2026-09-30T22:07:16Z</dcterms:modified>
  <cp:category/>
</cp:coreProperties>
</file>