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Mecanismos de ajuste: efecto en 2023 por DE de exposición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4898"/>
        <w:gridCol w:w="1426"/>
        <w:gridCol w:w="1585"/>
        <w:gridCol w:w="1707"/>
        <w:gridCol w:w="1132"/>
        <w:gridCol w:w="2282"/>
        <w:gridCol w:w="1854"/>
        <w:gridCol w:w="2563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significancia_cruda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p_ajustado_bh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significancia_ajustada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directo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aprendices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mujeres entre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obreros (OJO: circular)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Salarios y compresión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encargada a terceros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temporales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 de maquinaria nueva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Invierte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Compra maquinaria nueva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Rentabilidad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Rentabilidad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Margen: (VA - costo laboral) /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2026-09-30T22:07:22Z</dcterms:modified>
  <cp:category/>
</cp:coreProperties>
</file>