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5c. Mecanismos significativos: 2023 y 2024 frente a 2022, a 2021 y al promedio previo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8"/>
        <w:gridCol w:w="2820"/>
        <w:gridCol w:w="1462"/>
        <w:gridCol w:w="1854"/>
        <w:gridCol w:w="1132"/>
        <w:gridCol w:w="1609"/>
        <w:gridCol w:w="1426"/>
        <w:gridCol w:w="1585"/>
        <w:gridCol w:w="1707"/>
        <w:gridCol w:w="13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(log; OJO: es la base del Kaitz)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por temporal directo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-5.7776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Energía eléctrica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por unidad de 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-8.8254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-11.4295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-8.5339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-8.5056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-10.6337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-6.3776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-6.5164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-4.2983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2026-09-30T22:07:28Z</dcterms:modified>
  <cp:category/>
</cp:coreProperties>
</file>