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Coeficiente de 2023 con año base 2022 y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900"/>
        <w:gridCol w:w="1426"/>
        <w:gridCol w:w="1585"/>
        <w:gridCol w:w="1707"/>
        <w:gridCol w:w="1132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2026-09-30T22:07:31Z</dcterms:modified>
  <cp:category/>
</cp:coreProperties>
</file>