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7b. Coeficiente de 2023, con y sin control por tamaño x 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3578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de tamaño (principal)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de tamaño x 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de tamaño (principal)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de tamaño x año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2026-09-30T22:07:31Z</dcterms:modified>
  <cp:category/>
</cp:coreProperties>
</file>