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9. Efecto en 2023 por quintil del Kaitz frente al quintil 1 (dosis-respuesta)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820"/>
        <w:gridCol w:w="985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-9.608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-11.794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-16.201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-7.387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2026-09-30T22:07:34Z</dcterms:modified>
  <cp:category/>
</cp:coreProperties>
</file>