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10. Sensibilidad del efecto de 2023 a violaciones de tendencias paralelas (HonestDiD)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214"/>
        <w:gridCol w:w="1413"/>
        <w:gridCol w:w="2038"/>
        <w:gridCol w:w="1034"/>
        <w:gridCol w:w="1071"/>
        <w:gridCol w:w="1707"/>
        <w:gridCol w:w="1365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efecto_2023_pct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excluye_cero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ic_abierto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2026-09-30T22:11:51Z</dcterms:modified>
  <cp:category/>
</cp:coreProperties>
</file>