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10b. Valor de quiebre de HonestDiD por resultado y supuesto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3137"/>
        <w:gridCol w:w="2379"/>
        <w:gridCol w:w="1744"/>
        <w:gridCol w:w="1768"/>
        <w:gridCol w:w="5437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supuesto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significativo_original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valor_quiebre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maximo_grilla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lectura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hasta 0.5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en toda la grilla probada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Robusto hasta 0.25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permanente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 pierde en cuanto se permite cualquier violación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Magnitudes relativas (Mbar)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2.0000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significativo ni con tendencias paralelas exactas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Suavidad (M)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false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 significativo ni con tendencias paralelas exactas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2026-09-30T22:11:51Z</dcterms:modified>
  <cp:category/>
</cp:coreProperties>
</file>