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N de firmas con exposición válida en 2019 vs. 2022, traslape y exclusivas,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145"/>
        <w:gridCol w:w="1145"/>
        <w:gridCol w:w="1683"/>
        <w:gridCol w:w="1671"/>
        <w:gridCol w:w="16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n_en_ambas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n_solo_2019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n_solo_2022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2026-09-27T14:56:01Z</dcterms:modified>
  <cp:category/>
</cp:coreProperties>
</file>