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5c. Los 5 sectores (CIIU4) más frecuentes en cada grupo exclusivo (Bite)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973"/>
        <w:gridCol w:w="77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2026-09-27T14:56:03Z</dcterms:modified>
  <cp:category/>
</cp:coreProperties>
</file>