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6a. Coeficientes año a año (frente a 2022), exposición de 2022 (estándar, contaminada), las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961"/>
        <w:gridCol w:w="1426"/>
        <w:gridCol w:w="1084"/>
        <w:gridCol w:w="1585"/>
        <w:gridCol w:w="1707"/>
        <w:gridCol w:w="1132"/>
        <w:gridCol w:w="1609"/>
        <w:gridCol w:w="108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-3.0413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-6.7981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2026-09-27T14:56:08Z</dcterms:modified>
  <cp:category/>
</cp:coreProperties>
</file>