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16. Distribución de las firmas por quintil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p>
      <w:pPr>
        <w:pStyle w:val="Titre2"/>
      </w:pPr>
      <w:r>
        <w:t xml:space="preserve">Tabla 17. Efecto por quintil de exposición, frente al quintil menos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p>
      <w:pPr>
        <w:pStyle w:val="Titre2"/>
      </w:pPr>
      <w:r>
        <w:t xml:space="preserve">Tabla 17b. Cambio en 2023 y 2024 frente a 2022,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p>
      <w:pPr>
        <w:pStyle w:val="Titre2"/>
      </w:pPr>
      <w:r>
        <w:t xml:space="preserve">Tabla 17c. Cambio en 2023 y 2024 frente al promedio de 2015-2019,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p>
      <w:pPr>
        <w:pStyle w:val="Titre2"/>
      </w:pPr>
      <w:r>
        <w:t xml:space="preserve">Tabla 17d. El cambio de 2023 por quintil, según el período de comparación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p>
      <w:pPr>
        <w:pStyle w:val="Titre2"/>
      </w:pPr>
      <w:r>
        <w:t xml:space="preserve">Tabla 18. Comparación de formas funcionales del tratamiento continuo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19. Empleo año por año, estimado por separado en cada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p>
      <w:pPr>
        <w:pStyle w:val="Titre2"/>
      </w:pPr>
      <w:r>
        <w:t xml:space="preserve">Tabla 20. Resultado principal con y sin el quintil más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3639"/>
        <w:gridCol w:w="3589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-0.4413</w:t>
            </w:r>
          </w:p>
        </w:tc>
      </w:tr>
    </w:tbl>
    <w:p>
      <w:pPr>
        <w:pStyle w:val="Titre2"/>
      </w:pPr>
      <w:r>
        <w:t xml:space="preserve">Tabla 26. Contraste con contdid: ATT y ACRT globales (ver nota metodológica en C6)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26. Contraste con contdid: ATT y ACRT globales (ver nota metodológica en C6)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-0.0305</w:t>
            </w:r>
          </w:p>
        </w:tc>
      </w:tr>
    </w:tbl>
    <w:p>
      <w:pPr>
        <w:pStyle w:val="Titre2"/>
      </w:pPr>
      <w:r>
        <w:t xml:space="preserve">Tabla 21. Costo laboral por trabajador por quintil de exposición, frente a su nivel de 2015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p>
      <w:pPr>
        <w:pStyle w:val="Titre2"/>
      </w:pPr>
      <w:r>
        <w:t xml:space="preserve">Tabla 22. Placebo: salto de 2019 con la medida construida en 2018,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p>
      <w:pPr>
        <w:pStyle w:val="Titre2"/>
      </w:pPr>
      <w:r>
        <w:t xml:space="preserve">Tabla 23. Cambio de 2023 por quintil, con el Kaitz construido sobre el salario promedio de 2019-2021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p>
      <w:pPr>
        <w:pStyle w:val="Titre2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p>
      <w:pPr>
        <w:pStyle w:val="Titre2"/>
      </w:pPr>
      <w:r>
        <w:t xml:space="preserve">Tabla 25. El quintil más expuesto: efecto real y efecto falso, con cada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2026-09-27T23:34:56Z</dcterms:modified>
  <cp:category/>
</cp:coreProperties>
</file>