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16. Distribución de las firmas por quintil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694"/>
        <w:gridCol w:w="1903"/>
        <w:gridCol w:w="1755"/>
        <w:gridCol w:w="2172"/>
        <w:gridCol w:w="2282"/>
        <w:gridCol w:w="26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porcentaje_del_empleo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268,108.00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70,117.00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50,713.00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2026-09-27T23:34:25Z</dcterms:modified>
  <cp:category/>
</cp:coreProperties>
</file>