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17b. Cambio en 2023 y 2024 frente a 2022, por quintil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961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5.1807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5.5140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-1.5495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-1.9377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2026-09-27T23:34:28Z</dcterms:modified>
  <cp:category/>
</cp:coreProperties>
</file>