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17d. El cambio de 2023 por quintil, según el período de comparación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2441"/>
        <w:gridCol w:w="2160"/>
        <w:gridCol w:w="1132"/>
        <w:gridCol w:w="1609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2026-09-27T23:34:30Z</dcterms:modified>
  <cp:category/>
</cp:coreProperties>
</file>