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20. Resultado principal con y sin el quintil más expuesto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28"/>
        <w:gridCol w:w="3639"/>
        <w:gridCol w:w="3589"/>
        <w:gridCol w:w="1462"/>
        <w:gridCol w:w="1854"/>
        <w:gridCol w:w="1132"/>
        <w:gridCol w:w="1609"/>
        <w:gridCol w:w="1609"/>
        <w:gridCol w:w="1731"/>
        <w:gridCol w:w="1829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muestra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Todas las firmas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DiD simple (promedio post - pre)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el quintil más expuesto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-0.6788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Todas las firmas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-4.3258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el quintil más expuesto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-3.9040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Todas las firmas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2023 frente a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el quintil más expuesto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2023 frente a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Todas las firmas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2023 frente a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-0.7640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el quintil más expuesto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2023 frente a 2022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35,729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-0.4413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2026-09-27T23:34:33Z</dcterms:modified>
  <cp:category/>
</cp:coreProperties>
</file>