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23. Cambio de 2023 por quintil, con el Kaitz construido sobre el salario promedio de 2019-2021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441"/>
        <w:gridCol w:w="2391"/>
        <w:gridCol w:w="1462"/>
        <w:gridCol w:w="1854"/>
        <w:gridCol w:w="1132"/>
        <w:gridCol w:w="1609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referencia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2.6744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4.4273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2.3790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2.8527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3.9332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-2.0645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-1.2419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-1.5410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-2.4580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-4.1097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-8.0907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-8.2231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-13.0296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2026-09-27T23:34:44Z</dcterms:modified>
  <cp:category/>
</cp:coreProperties>
</file>