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16. Distribución de las firmas por quintil de exposición (2022)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1010"/>
        <w:gridCol w:w="1694"/>
        <w:gridCol w:w="1903"/>
        <w:gridCol w:w="1755"/>
        <w:gridCol w:w="2172"/>
        <w:gridCol w:w="2282"/>
        <w:gridCol w:w="26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kaitz_minimo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kaitz_promedio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kaitz_maximo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empleo_promedio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empleo_total_2022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porcentaje_del_empleo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262.85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268,108.00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161,473.00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98,076.00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70,117.00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50,713.00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7.80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2026-09-27T22:30:06Z</dcterms:modified>
  <cp:category/>
</cp:coreProperties>
</file>