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17b. Cambio en 2023 y 2024 frente a 2022,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61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5.1807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11.9576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-2.2080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-0.7677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-1.9377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2026-09-27T22:30:10Z</dcterms:modified>
  <cp:category/>
</cp:coreProperties>
</file>