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17d. El cambio de 2023 por quintil, según el período de comparación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2441"/>
        <w:gridCol w:w="2160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-12.7351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-15.5248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-6.9842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2026-09-27T22:30:12Z</dcterms:modified>
  <cp:category/>
</cp:coreProperties>
</file>