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24. Las tres medidas de exposición: salto real de 2023 frente al placebo de 2019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75"/>
        <w:gridCol w:w="3701"/>
        <w:gridCol w:w="3517"/>
        <w:gridCol w:w="2391"/>
        <w:gridCol w:w="2160"/>
        <w:gridCol w:w="1132"/>
        <w:gridCol w:w="1609"/>
        <w:gridCol w:w="1010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ejercicio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efecto_porcentual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firmas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2022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1.4125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0.3878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4,687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-0.4511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4,687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-1.7922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4,687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-1.3747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4,687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2019-2022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2019-2022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-1.4598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2019-2022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-0.2579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2019-2022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-2.3367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2019-2022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2019-2022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-1.8185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2019-2022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-1.6391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2019-2022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-2.1059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-4.1382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2,839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-3.9141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3,155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-3.7913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2,839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-4.7933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3,155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-4.7628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2,839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3,155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-3.5153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2,839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-3.4614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3,155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2.0747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4,687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4,687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4.9578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5.2962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4,687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3.0973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8.3641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4,687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8.2053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2019-2022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1.3744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2019-2022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1.6431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2019-2022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1.8851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2019-2022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3.4511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2019-2022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4.2328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2019-2022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3.5825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2019-2022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5.2396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2019-2022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5.8888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2,839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2.2769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3,155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2,839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-2.2932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3,155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2.1081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2,839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3,155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2,839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-0.4382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0.8509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3,155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2026-09-27T22:30:29Z</dcterms:modified>
  <cp:category/>
</cp:coreProperties>
</file>